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附件4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ascii="黑体" w:hAnsi="黑体" w:eastAsia="黑体" w:cs="仿宋_GB2312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>民办高等学校、全日制民办非学历高等教育机构安全稳定、食堂食品安全、卫生安全专项检查要点</w:t>
      </w:r>
    </w:p>
    <w:tbl>
      <w:tblPr>
        <w:tblStyle w:val="2"/>
        <w:tblW w:w="14879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20"/>
        <w:gridCol w:w="720"/>
        <w:gridCol w:w="7353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检查项目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检查要点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分值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检查内容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查阅材料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一、安全</w:t>
            </w:r>
          </w:p>
          <w:p>
            <w:pPr>
              <w:spacing w:line="360" w:lineRule="exact"/>
              <w:ind w:left="320" w:hanging="320" w:hangingChars="133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稳定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cs="仿宋_GB2312"/>
                <w:b/>
                <w:bCs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1.基础工作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单独设置安全保卫工作机构，按照1000:1比例配备专职保卫干部，主管领导及保卫干部接受过专业培训；所使用的保安人员符合国务院保安服务条例相关规定；安全保卫工作制度健全；各类突发事件应急处置预案齐全；执行情况良好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查阅保卫干部接受专业培训记录、各种安全制度及预案；各类安全制度日常执行的工作记录等。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cs="仿宋_GB2312"/>
                <w:b/>
                <w:bCs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2.安全防范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3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按不低于北京市地方标准（DB11/255-2004）三级风险等级规定的场所、部位安装技术防范设施；有技术防范系统运行维护合同；中控室值守人员接受过专业培训，24小时值班，值班记录齐全，有工作流程和应急预案；监控图像显示清晰、硬盘录像机回放图像清晰、存储时间符合要求；定期开展安全检查，检查记录详细、清楚，检查中发现的安全隐患及时进行整改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查阅技防系统相关材料、安全检查记录等。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3.校园稳定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</w:t>
            </w:r>
          </w:p>
        </w:tc>
        <w:tc>
          <w:tcPr>
            <w:tcW w:w="735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切实深入了解掌握师生思想动态，摸排校园内部各类不安定因素，加强舆情监控，及时上报各类预警性信息，做好各类矛盾纠纷的预防化解工作；及时准确报告并积极协助有关部门稳妥处置各类群体性事件；加强对学生的法制安全教育，加强社团管理，适时开展各类反恐防暴及安全演练，并留有声像资料。切实提高学生法制意识及安全防范意识，提高学生的自我保护和紧急避险能力；学校应争创“零发案”学校，上一评定年度内学校发生治安、刑事案件及安全生产事故等情况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查阅按要求报送信息情况、法制教育、各类演练的相关资料、学校上一年度发案情况。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4.消防安全工作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消防救援部门提供年度民办高等学校、民办非学历高等教育机构火情火灾、消防违法行为处罚情况。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查阅火灾及</w:t>
            </w:r>
            <w:r>
              <w:rPr>
                <w:rFonts w:ascii="仿宋_GB2312" w:hAnsi="仿宋_GB2312" w:cs="仿宋_GB2312"/>
                <w:sz w:val="22"/>
                <w:szCs w:val="22"/>
              </w:rPr>
              <w:t>消防违法行为处罚记录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二、学校食堂食品安全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cs="仿宋_GB2312"/>
                <w:b/>
                <w:bCs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5.许可及从业人员管理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3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是否取得有效的食品经营许可证；实际经营地址、经营内容与食品经营许可证上许可内容是否一致。</w:t>
            </w:r>
          </w:p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服务从业人员是否每年进行健康检查，取得纸质健康体检证明；从业人员是否定期接受食品安全教育和培训，是否建立培训档案；从业人员是否穿戴清洁的工作衣帽，并保持个人卫生。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学校食堂《食品经营许可证》、供餐协议、供餐单位资质证明。</w:t>
            </w:r>
          </w:p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食品安全管理人员培训合格证明，从业人员健康管理和培训管理制度，从业人员健康证，从业人员晨检记录，食堂平面布局图。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cs="仿宋_GB2312"/>
                <w:b/>
                <w:bCs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6.操作间设施</w:t>
            </w:r>
            <w:r>
              <w:rPr>
                <w:rFonts w:ascii="仿宋_GB2312" w:hAnsi="Calibri" w:cs="仿宋_GB2312"/>
                <w:b/>
                <w:bCs/>
                <w:sz w:val="24"/>
              </w:rPr>
              <w:t>设备和加工制作过程管理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4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pacing w:val="-6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pacing w:val="-6"/>
                <w:sz w:val="22"/>
                <w:szCs w:val="22"/>
              </w:rPr>
              <w:t>设备布局和工艺流程是否合理，是否擅自改变布局。粗加工间：动物性食品、植物性食品、水产品3类食品原料是否分开清洗，水池数量或容量与加工食品的数量相适应。各类水池、容器、加工工具是否以明显标识标明其用途。需要在食堂明显区域悬挂明厨亮灶显示屏。</w:t>
            </w:r>
          </w:p>
          <w:p>
            <w:pPr>
              <w:spacing w:line="360" w:lineRule="exact"/>
              <w:rPr>
                <w:rFonts w:ascii="仿宋_GB2312" w:hAnsi="仿宋_GB2312" w:cs="仿宋_GB2312"/>
                <w:spacing w:val="-14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pacing w:val="-14"/>
                <w:sz w:val="22"/>
                <w:szCs w:val="22"/>
              </w:rPr>
              <w:t>操作间：操作环境是否整洁；地面、墙壁、设备设施是否符合保证食品安全的要求。冰箱内食品原料、半成品、成品是否分开存放。</w:t>
            </w:r>
          </w:p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pacing w:val="-6"/>
                <w:sz w:val="22"/>
                <w:szCs w:val="22"/>
              </w:rPr>
              <w:t>餐饮具消毒：餐饮具消毒设施是否正常运转；盛放直接入口食品的容器，使用前是否洗净、消毒；已消毒的餐饮具是否存放在密闭保洁柜中并有明显标记。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关键环节操作规程，餐厨废弃物处置管理制度。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cs="仿宋_GB2312"/>
                <w:b/>
                <w:bCs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7.库房及食品原料等安全管理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3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pacing w:val="-4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pacing w:val="-4"/>
                <w:sz w:val="22"/>
                <w:szCs w:val="22"/>
              </w:rPr>
              <w:t>食品仓库是否符合贮存条件；食品是否分类，分架，隔墙隔地存放，各类食品是否有明显标志；是否建立仓库进出库专人验收登记制度，做到勤进勤出，先进先出，定期清仓检查；食品成品、半成品及食品原料是否做到分开存放，是否存在食品与药品、杂品等物品混放；食品添加剂是否设置了单独的存放区域，进出库及使用是否有详细记录。</w:t>
            </w:r>
          </w:p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是否严格执行食品及原料、食品添加剂、食品相关产品进货查验和索证索票制度并建立台账。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食品、食品添加剂、食品相关产品采购索证索票、进货查验和台账记录、</w:t>
            </w:r>
            <w:r>
              <w:rPr>
                <w:rFonts w:hint="eastAsia" w:ascii="仿宋_GB2312" w:hAnsi="宋体" w:cs="仿宋_GB2312"/>
                <w:sz w:val="22"/>
                <w:szCs w:val="22"/>
              </w:rPr>
              <w:t>食品添加剂使用记录。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三、卫生</w:t>
            </w:r>
          </w:p>
          <w:p>
            <w:pPr>
              <w:spacing w:line="3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安全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cs="仿宋_GB2312"/>
                <w:b/>
                <w:bCs/>
                <w:sz w:val="24"/>
              </w:rPr>
            </w:pPr>
            <w:r>
              <w:rPr>
                <w:rFonts w:hint="eastAsia" w:ascii="仿宋_GB2312" w:hAnsi="Calibri" w:cs="仿宋_GB2312"/>
                <w:b/>
                <w:bCs/>
                <w:sz w:val="24"/>
              </w:rPr>
              <w:t>8.生活饮用水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自备水井的卫生许可和卫生管理情况是否符合要求；二次供水的卫生许可和卫生管理情况是否符合卫生要求；学校使用的涉水产品卫生管理情况是否符合要求；学校的饮水设备卫生管理是否符合要求。学校近12个月内未发生水污染中毒事件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根据</w:t>
            </w:r>
            <w:r>
              <w:rPr>
                <w:rFonts w:ascii="仿宋_GB2312" w:hAnsi="宋体"/>
                <w:sz w:val="22"/>
                <w:szCs w:val="22"/>
              </w:rPr>
              <w:t>学校的供水方式，</w:t>
            </w:r>
            <w:r>
              <w:rPr>
                <w:rFonts w:hint="eastAsia" w:ascii="仿宋_GB2312" w:hAnsi="宋体"/>
                <w:sz w:val="22"/>
                <w:szCs w:val="22"/>
              </w:rPr>
              <w:t>按照</w:t>
            </w:r>
            <w:r>
              <w:rPr>
                <w:rFonts w:ascii="仿宋_GB2312" w:hAnsi="宋体"/>
                <w:sz w:val="22"/>
                <w:szCs w:val="22"/>
              </w:rPr>
              <w:t>《</w:t>
            </w:r>
            <w:r>
              <w:rPr>
                <w:rFonts w:hint="eastAsia" w:ascii="仿宋_GB2312" w:hAnsi="宋体"/>
                <w:sz w:val="22"/>
                <w:szCs w:val="22"/>
              </w:rPr>
              <w:t>北京市</w:t>
            </w:r>
            <w:r>
              <w:rPr>
                <w:rFonts w:ascii="仿宋_GB2312" w:hAnsi="宋体"/>
                <w:sz w:val="22"/>
                <w:szCs w:val="22"/>
              </w:rPr>
              <w:t>卫生监督工作平台》</w:t>
            </w:r>
            <w:r>
              <w:rPr>
                <w:rFonts w:hint="eastAsia" w:ascii="仿宋_GB2312" w:hAnsi="宋体"/>
                <w:sz w:val="22"/>
                <w:szCs w:val="22"/>
              </w:rPr>
              <w:t>生活饮用水相应</w:t>
            </w:r>
            <w:r>
              <w:rPr>
                <w:rFonts w:ascii="仿宋_GB2312" w:hAnsi="宋体"/>
                <w:sz w:val="22"/>
                <w:szCs w:val="22"/>
              </w:rPr>
              <w:t>的检查表进行检查。学校</w:t>
            </w:r>
            <w:r>
              <w:rPr>
                <w:rFonts w:hint="eastAsia" w:ascii="仿宋_GB2312" w:hAnsi="宋体"/>
                <w:sz w:val="22"/>
                <w:szCs w:val="22"/>
              </w:rPr>
              <w:t>的</w:t>
            </w:r>
            <w:r>
              <w:rPr>
                <w:rFonts w:ascii="仿宋_GB2312" w:hAnsi="宋体"/>
                <w:sz w:val="22"/>
                <w:szCs w:val="22"/>
              </w:rPr>
              <w:t>饮水设备管理按照《</w:t>
            </w:r>
            <w:r>
              <w:rPr>
                <w:rFonts w:hint="eastAsia" w:ascii="仿宋_GB2312" w:hAnsi="宋体"/>
                <w:sz w:val="22"/>
                <w:szCs w:val="22"/>
              </w:rPr>
              <w:t>学校</w:t>
            </w:r>
            <w:r>
              <w:rPr>
                <w:rFonts w:ascii="仿宋_GB2312" w:hAnsi="宋体"/>
                <w:sz w:val="22"/>
                <w:szCs w:val="22"/>
              </w:rPr>
              <w:t>及</w:t>
            </w:r>
            <w:r>
              <w:rPr>
                <w:rFonts w:hint="eastAsia" w:ascii="仿宋_GB2312" w:hAnsi="宋体"/>
                <w:sz w:val="22"/>
                <w:szCs w:val="22"/>
              </w:rPr>
              <w:t>托幼机构</w:t>
            </w:r>
            <w:r>
              <w:rPr>
                <w:rFonts w:ascii="仿宋_GB2312" w:hAnsi="宋体"/>
                <w:sz w:val="22"/>
                <w:szCs w:val="22"/>
              </w:rPr>
              <w:t>饮水设备使用维护规范》</w:t>
            </w:r>
            <w:r>
              <w:rPr>
                <w:rFonts w:hint="eastAsia" w:ascii="仿宋_GB2312" w:hAnsi="宋体"/>
                <w:sz w:val="22"/>
                <w:szCs w:val="22"/>
              </w:rPr>
              <w:t>的</w:t>
            </w:r>
            <w:r>
              <w:rPr>
                <w:rFonts w:ascii="仿宋_GB2312" w:hAnsi="宋体"/>
                <w:sz w:val="22"/>
                <w:szCs w:val="22"/>
              </w:rPr>
              <w:t>要求进行检查。</w:t>
            </w:r>
            <w:r>
              <w:rPr>
                <w:rFonts w:hint="eastAsia" w:ascii="仿宋_GB2312" w:hAnsi="宋体"/>
                <w:sz w:val="22"/>
                <w:szCs w:val="22"/>
              </w:rPr>
              <w:t>查阅近12个月辖区卫生行政部门检查记录。学校近12个月内不得发生水污染中毒事件。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9.医疗机构与传染病管理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全日制教育机构应设置校内医疗机构，并取得《医疗机构执业许可证》；医疗机构实际提供服务的诊疗科目与《医疗机构执业许可证》核准登记的诊疗项目相符；卫生专业技术人员均应取得相应的执业资格，执业注册地点在本校内设医疗机构，并按照执业范围开展诊疗活动。医疗废物管理要符合相关法律法规要求。学校传染病防控要建立校长为第一责任人管理组织体系，学校卫生传染病防控管理符合相关法律法规要求。１月８日起新型冠状病毒感染实施乙类乙管，学校相关管理符合教育部印发《学校新型冠状病毒感染防控工作方案》等文件最新要求。学校近12个月内未发生因瞒报、谎报、漏报、迟报或措施落实不力而导致的传染病暴发流行事件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查阅近12个月内辖区卫生计生行政部门检查记录。对校内</w:t>
            </w:r>
            <w:r>
              <w:rPr>
                <w:rFonts w:ascii="仿宋_GB2312" w:hAnsi="宋体"/>
                <w:sz w:val="22"/>
                <w:szCs w:val="22"/>
              </w:rPr>
              <w:t>医疗机构、</w:t>
            </w:r>
            <w:r>
              <w:rPr>
                <w:rFonts w:hint="eastAsia" w:ascii="仿宋_GB2312" w:hAnsi="宋体"/>
                <w:sz w:val="22"/>
                <w:szCs w:val="22"/>
              </w:rPr>
              <w:t>卫生</w:t>
            </w:r>
            <w:r>
              <w:rPr>
                <w:rFonts w:ascii="仿宋_GB2312" w:hAnsi="宋体"/>
                <w:sz w:val="22"/>
                <w:szCs w:val="22"/>
              </w:rPr>
              <w:t>专业技术人员</w:t>
            </w:r>
            <w:r>
              <w:rPr>
                <w:rFonts w:hint="eastAsia" w:ascii="仿宋_GB2312" w:hAnsi="宋体"/>
                <w:sz w:val="22"/>
                <w:szCs w:val="22"/>
              </w:rPr>
              <w:t>、执业活动</w:t>
            </w:r>
            <w:r>
              <w:rPr>
                <w:rFonts w:ascii="仿宋_GB2312" w:hAnsi="宋体"/>
                <w:sz w:val="22"/>
                <w:szCs w:val="22"/>
              </w:rPr>
              <w:t>、医疗废物管理、学校传染病防控管理</w:t>
            </w:r>
            <w:r>
              <w:rPr>
                <w:rFonts w:hint="eastAsia" w:ascii="仿宋_GB2312" w:hAnsi="宋体"/>
                <w:sz w:val="22"/>
                <w:szCs w:val="22"/>
              </w:rPr>
              <w:t>等</w:t>
            </w:r>
            <w:r>
              <w:rPr>
                <w:rFonts w:ascii="仿宋_GB2312" w:hAnsi="宋体"/>
                <w:sz w:val="22"/>
                <w:szCs w:val="22"/>
              </w:rPr>
              <w:t>按照相关法律法规及标准规范的要求进行检查</w:t>
            </w:r>
            <w:r>
              <w:rPr>
                <w:rFonts w:hint="eastAsia" w:ascii="仿宋_GB2312" w:hAnsi="宋体"/>
                <w:sz w:val="22"/>
                <w:szCs w:val="22"/>
              </w:rPr>
              <w:t>。学校近12个月内不得发生因瞒报、谎报</w:t>
            </w:r>
            <w:r>
              <w:rPr>
                <w:rFonts w:ascii="仿宋_GB2312" w:hAnsi="宋体"/>
                <w:sz w:val="22"/>
                <w:szCs w:val="22"/>
              </w:rPr>
              <w:t>、</w:t>
            </w:r>
            <w:r>
              <w:rPr>
                <w:rFonts w:hint="eastAsia" w:ascii="仿宋_GB2312" w:hAnsi="宋体"/>
                <w:sz w:val="22"/>
                <w:szCs w:val="22"/>
              </w:rPr>
              <w:t>漏报、迟报或措施落实不力而导致的传染病暴发流行事件。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10.教学及生活环境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</w:t>
            </w:r>
          </w:p>
        </w:tc>
        <w:tc>
          <w:tcPr>
            <w:tcW w:w="73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学校新装修的学校建筑投入使用前应进行室内空气质量检测，并取得检测合格报告。学校宿舍应符合《学生宿舍要求及管理规范》(GB31177-2014)的要求。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/>
                <w:spacing w:val="-6"/>
                <w:sz w:val="22"/>
                <w:szCs w:val="22"/>
              </w:rPr>
            </w:pPr>
            <w:r>
              <w:rPr>
                <w:rFonts w:hint="eastAsia" w:ascii="仿宋_GB2312" w:hAnsi="宋体"/>
                <w:spacing w:val="-6"/>
                <w:sz w:val="22"/>
                <w:szCs w:val="22"/>
              </w:rPr>
              <w:t>检查</w:t>
            </w:r>
            <w:r>
              <w:rPr>
                <w:rFonts w:hint="eastAsia" w:ascii="仿宋_GB2312" w:hAnsi="宋体"/>
                <w:sz w:val="22"/>
                <w:szCs w:val="22"/>
              </w:rPr>
              <w:t>学校</w:t>
            </w:r>
            <w:r>
              <w:rPr>
                <w:rFonts w:ascii="仿宋_GB2312" w:hAnsi="宋体"/>
                <w:sz w:val="22"/>
                <w:szCs w:val="22"/>
              </w:rPr>
              <w:t>新装修的</w:t>
            </w:r>
            <w:r>
              <w:rPr>
                <w:rFonts w:hint="eastAsia" w:ascii="仿宋_GB2312" w:hAnsi="宋体"/>
                <w:sz w:val="22"/>
                <w:szCs w:val="22"/>
              </w:rPr>
              <w:t>建筑</w:t>
            </w:r>
            <w:r>
              <w:rPr>
                <w:rFonts w:ascii="仿宋_GB2312" w:hAnsi="宋体"/>
                <w:sz w:val="22"/>
                <w:szCs w:val="22"/>
              </w:rPr>
              <w:t>投入</w:t>
            </w:r>
            <w:r>
              <w:rPr>
                <w:rFonts w:hint="eastAsia" w:ascii="仿宋_GB2312" w:hAnsi="宋体"/>
                <w:sz w:val="22"/>
                <w:szCs w:val="22"/>
              </w:rPr>
              <w:t>使用</w:t>
            </w:r>
            <w:r>
              <w:rPr>
                <w:rFonts w:ascii="仿宋_GB2312" w:hAnsi="宋体"/>
                <w:sz w:val="22"/>
                <w:szCs w:val="22"/>
              </w:rPr>
              <w:t>前</w:t>
            </w:r>
            <w:r>
              <w:rPr>
                <w:rFonts w:hint="eastAsia" w:ascii="仿宋_GB2312" w:hAnsi="宋体"/>
                <w:sz w:val="22"/>
                <w:szCs w:val="22"/>
              </w:rPr>
              <w:t>是否</w:t>
            </w:r>
            <w:r>
              <w:rPr>
                <w:rFonts w:ascii="仿宋_GB2312" w:hAnsi="宋体"/>
                <w:sz w:val="22"/>
                <w:szCs w:val="22"/>
              </w:rPr>
              <w:t>进行室内</w:t>
            </w:r>
            <w:r>
              <w:rPr>
                <w:rFonts w:hint="eastAsia" w:ascii="仿宋_GB2312" w:hAnsi="宋体"/>
                <w:sz w:val="22"/>
                <w:szCs w:val="22"/>
              </w:rPr>
              <w:t>空气</w:t>
            </w:r>
            <w:r>
              <w:rPr>
                <w:rFonts w:ascii="仿宋_GB2312" w:hAnsi="宋体"/>
                <w:sz w:val="22"/>
                <w:szCs w:val="22"/>
              </w:rPr>
              <w:t>质量检测，</w:t>
            </w:r>
            <w:r>
              <w:rPr>
                <w:rFonts w:hint="eastAsia" w:ascii="仿宋_GB2312" w:hAnsi="宋体"/>
                <w:sz w:val="22"/>
                <w:szCs w:val="22"/>
              </w:rPr>
              <w:t>并取得</w:t>
            </w:r>
            <w:r>
              <w:rPr>
                <w:rFonts w:ascii="仿宋_GB2312" w:hAnsi="宋体"/>
                <w:sz w:val="22"/>
                <w:szCs w:val="22"/>
              </w:rPr>
              <w:t>检测</w:t>
            </w:r>
            <w:r>
              <w:rPr>
                <w:rFonts w:hint="eastAsia" w:ascii="仿宋_GB2312" w:hAnsi="宋体"/>
                <w:sz w:val="22"/>
                <w:szCs w:val="22"/>
              </w:rPr>
              <w:t>合格报告。检查</w:t>
            </w:r>
            <w:r>
              <w:rPr>
                <w:rFonts w:ascii="仿宋_GB2312" w:hAnsi="宋体"/>
                <w:sz w:val="22"/>
                <w:szCs w:val="22"/>
              </w:rPr>
              <w:t>学生宿舍管理是否符合卫生要求。</w:t>
            </w:r>
          </w:p>
        </w:tc>
      </w:tr>
    </w:tbl>
    <w:p>
      <w:pPr>
        <w:spacing w:line="360" w:lineRule="exact"/>
        <w:ind w:left="708" w:hanging="708" w:hangingChars="294"/>
        <w:rPr>
          <w:rFonts w:ascii="仿宋_GB2312"/>
          <w:b/>
          <w:sz w:val="24"/>
        </w:rPr>
      </w:pPr>
    </w:p>
    <w:p>
      <w:pPr>
        <w:spacing w:line="360" w:lineRule="exact"/>
        <w:ind w:left="708" w:hanging="708" w:hangingChars="294"/>
        <w:rPr>
          <w:rFonts w:ascii="仿宋_GB2312" w:hAnsi="宋体"/>
          <w:b/>
          <w:sz w:val="24"/>
        </w:rPr>
      </w:pPr>
      <w:r>
        <w:rPr>
          <w:rFonts w:hint="eastAsia" w:ascii="仿宋_GB2312" w:hAnsi="宋体"/>
          <w:b/>
          <w:sz w:val="24"/>
        </w:rPr>
        <w:t>备注：1.“安全稳定”项目得分大于或等于8.5分可评为通过，年检年度内出现因违规办学、虚假招生宣传等行为导致重大群体信访或出现重大安全责任事故、重大刑事（治安）案件、重大火灾等，此项目为“不通过”。</w:t>
      </w:r>
    </w:p>
    <w:p>
      <w:pPr>
        <w:spacing w:line="360" w:lineRule="exact"/>
        <w:ind w:left="708" w:hanging="708" w:hangingChars="294"/>
        <w:rPr>
          <w:rFonts w:ascii="仿宋_GB2312" w:hAnsi="宋体"/>
          <w:b/>
          <w:sz w:val="24"/>
        </w:rPr>
      </w:pPr>
      <w:r>
        <w:rPr>
          <w:rFonts w:hint="eastAsia" w:ascii="仿宋_GB2312" w:hAnsi="宋体"/>
          <w:b/>
          <w:sz w:val="24"/>
        </w:rPr>
        <w:t xml:space="preserve">      2.“食堂食品安全”“卫生安全”项目得分大于或等于8分可评为“通过”。</w:t>
      </w: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  <w:r>
        <w:rPr>
          <w:rFonts w:hint="eastAsia" w:ascii="仿宋_GB2312" w:hAnsi="宋体"/>
          <w:b/>
          <w:sz w:val="24"/>
        </w:rPr>
        <w:t xml:space="preserve">      </w:t>
      </w:r>
      <w:r>
        <w:rPr>
          <w:rFonts w:hint="eastAsia" w:ascii="仿宋_GB2312"/>
          <w:b/>
          <w:sz w:val="24"/>
        </w:rPr>
        <w:t>3.</w:t>
      </w:r>
      <w:r>
        <w:rPr>
          <w:rFonts w:hint="eastAsia" w:ascii="仿宋_GB2312" w:hAnsi="宋体"/>
          <w:b/>
          <w:sz w:val="24"/>
        </w:rPr>
        <w:t>此三项项目有一项评分不通过，且在规定时间内未完成整改，当年年检结论为“暂缓通过”或“不通过”。</w:t>
      </w: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>
      <w:pPr>
        <w:spacing w:line="360" w:lineRule="exact"/>
        <w:ind w:left="973" w:hanging="973" w:hangingChars="404"/>
        <w:rPr>
          <w:rFonts w:hint="eastAsia" w:ascii="仿宋_GB2312" w:hAnsi="宋体"/>
          <w:b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28F93BB7"/>
    <w:rsid w:val="28F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2023-01-18T09:43:00Z</dcterms:created>
  <dc:creator>苏坡云☁️</dc:creator>
  <cp:lastModifiedBy>苏坡云☁️</cp:lastModifiedBy>
  <dcterms:modified xsi:type="dcterms:W3CDTF">2023-01-18T09:43:46Z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4C7BA6BC2C624430945EB85A4F1B6184</vt:lpwstr>
  </property>
</Properties>
</file>